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F29F1" w14:textId="6226E699" w:rsidR="00FD0702" w:rsidRDefault="00FD0702" w:rsidP="00010592">
      <w:pPr>
        <w:keepNext/>
        <w:widowControl/>
        <w:tabs>
          <w:tab w:val="left" w:pos="432"/>
        </w:tabs>
        <w:jc w:val="center"/>
        <w:outlineLvl w:val="0"/>
        <w:rPr>
          <w:rFonts w:ascii="方正小标宋简体" w:eastAsia="方正小标宋简体"/>
          <w:w w:val="95"/>
          <w:sz w:val="40"/>
          <w:szCs w:val="40"/>
        </w:rPr>
      </w:pPr>
      <w:r w:rsidRPr="00FD0702">
        <w:rPr>
          <w:rFonts w:ascii="方正小标宋简体" w:eastAsia="方正小标宋简体" w:hint="eastAsia"/>
          <w:w w:val="95"/>
          <w:sz w:val="40"/>
          <w:szCs w:val="40"/>
        </w:rPr>
        <w:t>庐阳区第四十个教师节大会服务项目</w:t>
      </w:r>
    </w:p>
    <w:p w14:paraId="4650BCCF" w14:textId="5359CE60" w:rsidR="00010592" w:rsidRPr="00010592" w:rsidRDefault="00010592" w:rsidP="00010592">
      <w:pPr>
        <w:keepNext/>
        <w:widowControl/>
        <w:tabs>
          <w:tab w:val="left" w:pos="432"/>
        </w:tabs>
        <w:jc w:val="center"/>
        <w:outlineLvl w:val="0"/>
        <w:rPr>
          <w:rFonts w:ascii="宋体" w:eastAsia="黑体" w:hAnsi="宋体" w:cs="宋体" w:hint="eastAsia"/>
          <w:b/>
          <w:bCs/>
          <w:kern w:val="0"/>
          <w:sz w:val="40"/>
          <w:szCs w:val="21"/>
        </w:rPr>
      </w:pPr>
      <w:r>
        <w:rPr>
          <w:rFonts w:ascii="方正小标宋简体" w:eastAsia="方正小标宋简体" w:hint="eastAsia"/>
          <w:w w:val="95"/>
          <w:sz w:val="40"/>
          <w:szCs w:val="40"/>
        </w:rPr>
        <w:t>采购需求及评分办法</w:t>
      </w:r>
    </w:p>
    <w:p w14:paraId="22683D8C" w14:textId="3A845D4D" w:rsidR="00010592" w:rsidRPr="00FD0702" w:rsidRDefault="00FD0702" w:rsidP="00FD0702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FD0702">
        <w:rPr>
          <w:rFonts w:ascii="宋体" w:hAnsi="宋体" w:cs="宋体" w:hint="eastAsia"/>
          <w:bCs/>
          <w:sz w:val="28"/>
          <w:szCs w:val="28"/>
        </w:rPr>
        <w:t>拟于教师节前夕举行庐阳区庆祝第四十个教师节大会，现就该活动的前期准备、现场布置及活动服务项目进行供应商公开评审选择，欢迎符合资格条件的单位参与投标。</w:t>
      </w:r>
    </w:p>
    <w:p w14:paraId="4C12FFA1" w14:textId="2785947F" w:rsidR="00FD0702" w:rsidRDefault="008830DC" w:rsidP="00FD0702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一、采购项目名称及要求</w:t>
      </w:r>
    </w:p>
    <w:p w14:paraId="724DA96C" w14:textId="77777777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1.采购项目概况与采购范围</w:t>
      </w:r>
    </w:p>
    <w:p w14:paraId="28699603" w14:textId="7FE9AB21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1.1项目名称: 庐阳区第四十个教师节大会服务项目</w:t>
      </w:r>
      <w:r w:rsidR="006F05F9">
        <w:rPr>
          <w:rFonts w:ascii="宋体" w:hAnsi="宋体" w:cs="宋体" w:hint="eastAsia"/>
          <w:bCs/>
          <w:sz w:val="28"/>
          <w:szCs w:val="28"/>
        </w:rPr>
        <w:t>采购</w:t>
      </w:r>
      <w:r w:rsidRPr="008830DC">
        <w:rPr>
          <w:rFonts w:ascii="宋体" w:hAnsi="宋体" w:cs="宋体" w:hint="eastAsia"/>
          <w:bCs/>
          <w:sz w:val="28"/>
          <w:szCs w:val="28"/>
        </w:rPr>
        <w:t>公告</w:t>
      </w:r>
    </w:p>
    <w:p w14:paraId="75ACBBA4" w14:textId="77777777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1.2采购人:合肥庐阳教育发展集团有限公司</w:t>
      </w:r>
    </w:p>
    <w:p w14:paraId="7EA77883" w14:textId="77777777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1.3交货地点/服务地点:庐阳区政务中心三楼大礼堂</w:t>
      </w:r>
    </w:p>
    <w:p w14:paraId="79C73631" w14:textId="752779FB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1.4</w:t>
      </w:r>
      <w:r>
        <w:rPr>
          <w:rFonts w:ascii="宋体" w:hAnsi="宋体" w:cs="宋体" w:hint="eastAsia"/>
          <w:bCs/>
          <w:sz w:val="28"/>
          <w:szCs w:val="28"/>
        </w:rPr>
        <w:t>采购估算金额</w:t>
      </w:r>
      <w:r w:rsidRPr="008830DC">
        <w:rPr>
          <w:rFonts w:ascii="宋体" w:hAnsi="宋体" w:cs="宋体" w:hint="eastAsia"/>
          <w:bCs/>
          <w:sz w:val="28"/>
          <w:szCs w:val="28"/>
        </w:rPr>
        <w:t>:</w:t>
      </w:r>
      <w:r>
        <w:rPr>
          <w:rFonts w:ascii="宋体" w:hAnsi="宋体" w:cs="宋体" w:hint="eastAsia"/>
          <w:bCs/>
          <w:sz w:val="28"/>
          <w:szCs w:val="28"/>
        </w:rPr>
        <w:t>不得高于12.9万元人民币</w:t>
      </w:r>
      <w:r w:rsidRPr="008830DC">
        <w:rPr>
          <w:rFonts w:ascii="宋体" w:hAnsi="宋体" w:cs="宋体" w:hint="eastAsia"/>
          <w:bCs/>
          <w:sz w:val="28"/>
          <w:szCs w:val="28"/>
        </w:rPr>
        <w:t>（含税）</w:t>
      </w:r>
    </w:p>
    <w:p w14:paraId="6A76F8B3" w14:textId="3B5449AC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 xml:space="preserve">1.5采购范围: </w:t>
      </w:r>
      <w:r w:rsidR="00341505">
        <w:rPr>
          <w:rFonts w:ascii="宋体" w:hAnsi="宋体" w:cs="宋体" w:hint="eastAsia"/>
          <w:bCs/>
          <w:sz w:val="28"/>
          <w:szCs w:val="28"/>
        </w:rPr>
        <w:t>包括但不限于</w:t>
      </w:r>
      <w:r w:rsidRPr="008830DC">
        <w:rPr>
          <w:rFonts w:ascii="宋体" w:hAnsi="宋体" w:cs="宋体" w:hint="eastAsia"/>
          <w:bCs/>
          <w:sz w:val="28"/>
          <w:szCs w:val="28"/>
        </w:rPr>
        <w:t>活动前期准备、现场布置及活动服务项目</w:t>
      </w:r>
      <w:r w:rsidR="00341505">
        <w:rPr>
          <w:rFonts w:ascii="宋体" w:hAnsi="宋体" w:cs="宋体" w:hint="eastAsia"/>
          <w:bCs/>
          <w:sz w:val="28"/>
          <w:szCs w:val="28"/>
        </w:rPr>
        <w:t>等</w:t>
      </w:r>
    </w:p>
    <w:p w14:paraId="41F94903" w14:textId="712FD174" w:rsid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1.6 项目类别:服务</w:t>
      </w:r>
    </w:p>
    <w:p w14:paraId="7A620EA4" w14:textId="5BDE6858" w:rsidR="008830DC" w:rsidRP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2.</w:t>
      </w:r>
      <w:r w:rsidR="00D80200">
        <w:rPr>
          <w:rFonts w:ascii="宋体" w:hAnsi="宋体" w:cs="宋体" w:hint="eastAsia"/>
          <w:bCs/>
          <w:sz w:val="28"/>
          <w:szCs w:val="28"/>
        </w:rPr>
        <w:t>响应</w:t>
      </w:r>
      <w:r w:rsidRPr="008830DC">
        <w:rPr>
          <w:rFonts w:ascii="宋体" w:hAnsi="宋体" w:cs="宋体" w:hint="eastAsia"/>
          <w:bCs/>
          <w:sz w:val="28"/>
          <w:szCs w:val="28"/>
        </w:rPr>
        <w:t>文件的递交</w:t>
      </w:r>
    </w:p>
    <w:p w14:paraId="4E1853BF" w14:textId="7ECA0E49" w:rsid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2.1</w:t>
      </w:r>
      <w:r w:rsidR="00D80200">
        <w:rPr>
          <w:rFonts w:ascii="宋体" w:hAnsi="宋体" w:cs="宋体" w:hint="eastAsia"/>
          <w:bCs/>
          <w:sz w:val="28"/>
          <w:szCs w:val="28"/>
        </w:rPr>
        <w:t>响应</w:t>
      </w:r>
      <w:r w:rsidRPr="008830DC">
        <w:rPr>
          <w:rFonts w:ascii="宋体" w:hAnsi="宋体" w:cs="宋体" w:hint="eastAsia"/>
          <w:bCs/>
          <w:sz w:val="28"/>
          <w:szCs w:val="28"/>
        </w:rPr>
        <w:t>文件递交地点:合肥市北</w:t>
      </w:r>
      <w:proofErr w:type="gramStart"/>
      <w:r w:rsidRPr="008830DC">
        <w:rPr>
          <w:rFonts w:ascii="宋体" w:hAnsi="宋体" w:cs="宋体" w:hint="eastAsia"/>
          <w:bCs/>
          <w:sz w:val="28"/>
          <w:szCs w:val="28"/>
        </w:rPr>
        <w:t>一</w:t>
      </w:r>
      <w:proofErr w:type="gramEnd"/>
      <w:r w:rsidRPr="008830DC">
        <w:rPr>
          <w:rFonts w:ascii="宋体" w:hAnsi="宋体" w:cs="宋体" w:hint="eastAsia"/>
          <w:bCs/>
          <w:sz w:val="28"/>
          <w:szCs w:val="28"/>
        </w:rPr>
        <w:t>环路蓝</w:t>
      </w:r>
      <w:proofErr w:type="gramStart"/>
      <w:r w:rsidRPr="008830DC">
        <w:rPr>
          <w:rFonts w:ascii="宋体" w:hAnsi="宋体" w:cs="宋体" w:hint="eastAsia"/>
          <w:bCs/>
          <w:sz w:val="28"/>
          <w:szCs w:val="28"/>
        </w:rPr>
        <w:t>钻尚界</w:t>
      </w:r>
      <w:proofErr w:type="gramEnd"/>
      <w:r w:rsidRPr="008830DC">
        <w:rPr>
          <w:rFonts w:ascii="宋体" w:hAnsi="宋体" w:cs="宋体" w:hint="eastAsia"/>
          <w:bCs/>
          <w:sz w:val="28"/>
          <w:szCs w:val="28"/>
        </w:rPr>
        <w:t>B座6楼会议室</w:t>
      </w:r>
    </w:p>
    <w:p w14:paraId="6B4286A1" w14:textId="5BFAD49F" w:rsid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2.2逾期送达或者未送达指定地点的</w:t>
      </w:r>
      <w:r w:rsidR="00F2052A">
        <w:rPr>
          <w:rFonts w:ascii="宋体" w:hAnsi="宋体" w:cs="宋体" w:hint="eastAsia"/>
          <w:bCs/>
          <w:sz w:val="28"/>
          <w:szCs w:val="28"/>
        </w:rPr>
        <w:t>、</w:t>
      </w:r>
      <w:r w:rsidRPr="008830DC">
        <w:rPr>
          <w:rFonts w:ascii="宋体" w:hAnsi="宋体" w:cs="宋体" w:hint="eastAsia"/>
          <w:bCs/>
          <w:sz w:val="28"/>
          <w:szCs w:val="28"/>
        </w:rPr>
        <w:t>不符合密封要求的</w:t>
      </w:r>
      <w:r w:rsidR="00F2052A" w:rsidRPr="008830DC">
        <w:rPr>
          <w:rFonts w:ascii="宋体" w:hAnsi="宋体" w:cs="宋体" w:hint="eastAsia"/>
          <w:bCs/>
          <w:sz w:val="28"/>
          <w:szCs w:val="28"/>
        </w:rPr>
        <w:t>应答文件</w:t>
      </w:r>
      <w:r w:rsidR="00F2052A">
        <w:rPr>
          <w:rFonts w:ascii="宋体" w:hAnsi="宋体" w:cs="宋体" w:hint="eastAsia"/>
          <w:bCs/>
          <w:sz w:val="28"/>
          <w:szCs w:val="28"/>
        </w:rPr>
        <w:t>不予受理</w:t>
      </w:r>
      <w:r w:rsidRPr="008830DC">
        <w:rPr>
          <w:rFonts w:ascii="宋体" w:hAnsi="宋体" w:cs="宋体" w:hint="eastAsia"/>
          <w:bCs/>
          <w:sz w:val="28"/>
          <w:szCs w:val="28"/>
        </w:rPr>
        <w:t>;</w:t>
      </w:r>
    </w:p>
    <w:p w14:paraId="0E8582F7" w14:textId="58811654" w:rsidR="008830DC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830DC">
        <w:rPr>
          <w:rFonts w:ascii="宋体" w:hAnsi="宋体" w:cs="宋体" w:hint="eastAsia"/>
          <w:bCs/>
          <w:sz w:val="28"/>
          <w:szCs w:val="28"/>
        </w:rPr>
        <w:t>2.3密封要求:报价单请封包，封面上四角均封闭盖章并注明联系人信息</w:t>
      </w:r>
    </w:p>
    <w:p w14:paraId="108AC7F1" w14:textId="08680FE5" w:rsidR="008830DC" w:rsidRPr="00010592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68684C">
        <w:rPr>
          <w:rFonts w:ascii="宋体" w:hAnsi="宋体" w:cs="宋体" w:hint="eastAsia"/>
          <w:bCs/>
          <w:sz w:val="28"/>
          <w:szCs w:val="28"/>
        </w:rPr>
        <w:t>3.</w:t>
      </w:r>
      <w:r w:rsidR="0082015B" w:rsidRPr="0068684C">
        <w:rPr>
          <w:rFonts w:ascii="宋体" w:hAnsi="宋体" w:cs="宋体" w:hint="eastAsia"/>
          <w:bCs/>
          <w:sz w:val="28"/>
          <w:szCs w:val="28"/>
        </w:rPr>
        <w:t>服务要求</w:t>
      </w:r>
      <w:r w:rsidRPr="0068684C">
        <w:rPr>
          <w:rFonts w:ascii="宋体" w:hAnsi="宋体" w:cs="宋体" w:hint="eastAsia"/>
          <w:bCs/>
          <w:sz w:val="28"/>
          <w:szCs w:val="28"/>
        </w:rPr>
        <w:t>表如下：</w:t>
      </w:r>
    </w:p>
    <w:tbl>
      <w:tblPr>
        <w:tblStyle w:val="a8"/>
        <w:tblW w:w="8248" w:type="dxa"/>
        <w:tblLook w:val="04A0" w:firstRow="1" w:lastRow="0" w:firstColumn="1" w:lastColumn="0" w:noHBand="0" w:noVBand="1"/>
      </w:tblPr>
      <w:tblGrid>
        <w:gridCol w:w="1838"/>
        <w:gridCol w:w="709"/>
        <w:gridCol w:w="5701"/>
      </w:tblGrid>
      <w:tr w:rsidR="008830DC" w:rsidRPr="00F56FE0" w14:paraId="4D17F79B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3725131C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lastRenderedPageBreak/>
              <w:t>项目</w:t>
            </w:r>
          </w:p>
        </w:tc>
        <w:tc>
          <w:tcPr>
            <w:tcW w:w="709" w:type="dxa"/>
            <w:vAlign w:val="center"/>
          </w:tcPr>
          <w:p w14:paraId="245AF99B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数量</w:t>
            </w:r>
          </w:p>
        </w:tc>
        <w:tc>
          <w:tcPr>
            <w:tcW w:w="5701" w:type="dxa"/>
            <w:vAlign w:val="center"/>
          </w:tcPr>
          <w:p w14:paraId="51268061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具体需求</w:t>
            </w:r>
          </w:p>
        </w:tc>
      </w:tr>
      <w:tr w:rsidR="008830DC" w:rsidRPr="00F56FE0" w14:paraId="67B8EFB4" w14:textId="77777777" w:rsidTr="0082015B">
        <w:trPr>
          <w:trHeight w:val="1066"/>
        </w:trPr>
        <w:tc>
          <w:tcPr>
            <w:tcW w:w="1838" w:type="dxa"/>
            <w:vAlign w:val="center"/>
          </w:tcPr>
          <w:p w14:paraId="2B82E481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宣传视频</w:t>
            </w:r>
          </w:p>
        </w:tc>
        <w:tc>
          <w:tcPr>
            <w:tcW w:w="709" w:type="dxa"/>
            <w:vAlign w:val="center"/>
          </w:tcPr>
          <w:p w14:paraId="5784F19E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2</w:t>
            </w:r>
          </w:p>
        </w:tc>
        <w:tc>
          <w:tcPr>
            <w:tcW w:w="5701" w:type="dxa"/>
            <w:vAlign w:val="center"/>
          </w:tcPr>
          <w:p w14:paraId="2236228D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1.两只视频时长分别不超过10分钟；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br/>
              <w:t>2.供应商负责视频策划、脚本制作、现场拍摄、视频剪辑、后期制作等流程。</w:t>
            </w:r>
          </w:p>
          <w:p w14:paraId="11D84122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3.方案脚本的文字编写工作；画面清晰流畅，拍摄场景的转换无黑屏和抖动现象。</w:t>
            </w:r>
          </w:p>
          <w:p w14:paraId="30477AE3" w14:textId="77777777" w:rsidR="008830DC" w:rsidRPr="00F56FE0" w:rsidRDefault="008830DC" w:rsidP="000B763A">
            <w:pPr>
              <w:rPr>
                <w:rFonts w:ascii="仿宋_GB2312" w:eastAsia="仿宋_GB2312" w:hAnsi="宋体" w:cs="@仿宋_GB2312" w:hint="eastAsia"/>
                <w:kern w:val="0"/>
                <w:sz w:val="24"/>
              </w:rPr>
            </w:pPr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</w:rPr>
              <w:t>4.成交供应商负责全程拍摄、制作（含配音、字幕等）及</w:t>
            </w:r>
            <w:proofErr w:type="gramStart"/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</w:rPr>
              <w:t>包装合</w:t>
            </w:r>
            <w:proofErr w:type="gramEnd"/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</w:rPr>
              <w:t>成等各项工作。</w:t>
            </w:r>
          </w:p>
          <w:p w14:paraId="41421F85" w14:textId="77777777" w:rsidR="008830DC" w:rsidRPr="00F56FE0" w:rsidRDefault="008830DC" w:rsidP="000B763A">
            <w:pPr>
              <w:rPr>
                <w:rFonts w:ascii="仿宋_GB2312" w:eastAsia="仿宋_GB2312" w:hAnsi="宋体" w:cs="@仿宋_GB2312" w:hint="eastAsia"/>
                <w:kern w:val="0"/>
                <w:sz w:val="24"/>
              </w:rPr>
            </w:pPr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</w:rPr>
              <w:t>5.后期制作的画面、显示的文字， 展现效果清晰、内容明确、无错误。</w:t>
            </w:r>
          </w:p>
          <w:p w14:paraId="20C00EFB" w14:textId="77777777" w:rsidR="008830DC" w:rsidRPr="00F56FE0" w:rsidRDefault="008830DC" w:rsidP="000B763A">
            <w:pPr>
              <w:rPr>
                <w:rFonts w:ascii="仿宋_GB2312" w:eastAsia="仿宋_GB2312" w:hAnsi="宋体" w:cs="@仿宋_GB2312" w:hint="eastAsia"/>
                <w:kern w:val="0"/>
                <w:sz w:val="24"/>
                <w:lang w:val="zh-CN"/>
              </w:rPr>
            </w:pPr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  <w:lang w:val="zh-CN"/>
              </w:rPr>
              <w:t>6.视频播放无卡顿、失真等情况。</w:t>
            </w:r>
          </w:p>
          <w:p w14:paraId="030B689D" w14:textId="77777777" w:rsidR="008830DC" w:rsidRPr="00F56FE0" w:rsidRDefault="008830DC" w:rsidP="000B763A">
            <w:pPr>
              <w:rPr>
                <w:rFonts w:ascii="仿宋_GB2312" w:eastAsia="仿宋_GB2312" w:hAnsi="宋体" w:cs="@仿宋_GB2312" w:hint="eastAsia"/>
                <w:kern w:val="0"/>
                <w:sz w:val="24"/>
              </w:rPr>
            </w:pPr>
            <w:r w:rsidRPr="00F56FE0">
              <w:rPr>
                <w:rFonts w:ascii="仿宋_GB2312" w:eastAsia="仿宋_GB2312" w:hAnsi="宋体" w:cs="@仿宋_GB2312" w:hint="eastAsia"/>
                <w:kern w:val="0"/>
                <w:sz w:val="24"/>
              </w:rPr>
              <w:t>7.分辨率：1920X1080；帧率：25；码流：25M。</w:t>
            </w:r>
          </w:p>
        </w:tc>
      </w:tr>
      <w:tr w:rsidR="008830DC" w:rsidRPr="00F56FE0" w14:paraId="56FFE376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3CD0ADBA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推广屏幕及动态视频</w:t>
            </w:r>
          </w:p>
        </w:tc>
        <w:tc>
          <w:tcPr>
            <w:tcW w:w="709" w:type="dxa"/>
            <w:vAlign w:val="center"/>
          </w:tcPr>
          <w:p w14:paraId="2CA5812D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/</w:t>
            </w:r>
          </w:p>
        </w:tc>
        <w:tc>
          <w:tcPr>
            <w:tcW w:w="5701" w:type="dxa"/>
            <w:vAlign w:val="center"/>
          </w:tcPr>
          <w:p w14:paraId="6459758F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包含步行街3D大屏</w:t>
            </w:r>
            <w:r>
              <w:rPr>
                <w:rFonts w:ascii="仿宋_GB2312" w:eastAsia="仿宋_GB2312" w:hint="eastAsia"/>
                <w:w w:val="95"/>
                <w:sz w:val="24"/>
              </w:rPr>
              <w:t>（尺寸：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43</w:t>
            </w:r>
            <w:r>
              <w:rPr>
                <w:rFonts w:ascii="仿宋_GB2312" w:eastAsia="仿宋_GB2312" w:hint="eastAsia"/>
                <w:w w:val="95"/>
                <w:sz w:val="24"/>
              </w:rPr>
              <w:t>米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×12</w:t>
            </w:r>
            <w:r>
              <w:rPr>
                <w:rFonts w:ascii="仿宋_GB2312" w:eastAsia="仿宋_GB2312" w:hint="eastAsia"/>
                <w:w w:val="95"/>
                <w:sz w:val="24"/>
              </w:rPr>
              <w:t>米；分辨率：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6384*1782</w:t>
            </w:r>
            <w:r>
              <w:rPr>
                <w:rFonts w:ascii="仿宋_GB2312" w:eastAsia="仿宋_GB2312" w:hint="eastAsia"/>
                <w:w w:val="95"/>
                <w:sz w:val="24"/>
              </w:rPr>
              <w:t>）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及不少于4条宣传标语的画面设计</w:t>
            </w:r>
          </w:p>
        </w:tc>
      </w:tr>
      <w:tr w:rsidR="008830DC" w:rsidRPr="00F56FE0" w14:paraId="36DC00FA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31C61104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声扬线阵音响</w:t>
            </w:r>
          </w:p>
        </w:tc>
        <w:tc>
          <w:tcPr>
            <w:tcW w:w="709" w:type="dxa"/>
            <w:vAlign w:val="center"/>
          </w:tcPr>
          <w:p w14:paraId="1687968E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12</w:t>
            </w:r>
          </w:p>
        </w:tc>
        <w:tc>
          <w:tcPr>
            <w:tcW w:w="5701" w:type="dxa"/>
            <w:vAlign w:val="center"/>
          </w:tcPr>
          <w:p w14:paraId="6AA77FBA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应包含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双十线阵全频音箱舞台音响</w:t>
            </w:r>
            <w:r>
              <w:rPr>
                <w:rFonts w:ascii="仿宋_GB2312" w:eastAsia="仿宋_GB2312" w:hint="eastAsia"/>
                <w:w w:val="95"/>
                <w:sz w:val="24"/>
              </w:rPr>
              <w:t>不少于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8</w:t>
            </w:r>
            <w:r>
              <w:rPr>
                <w:rFonts w:ascii="仿宋_GB2312" w:eastAsia="仿宋_GB2312" w:hint="eastAsia"/>
                <w:w w:val="95"/>
                <w:sz w:val="24"/>
              </w:rPr>
              <w:t>个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、超低</w:t>
            </w:r>
            <w:r>
              <w:rPr>
                <w:rFonts w:ascii="仿宋_GB2312" w:eastAsia="仿宋_GB2312" w:hint="eastAsia"/>
                <w:w w:val="95"/>
                <w:sz w:val="24"/>
              </w:rPr>
              <w:t>音响组不少于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2</w:t>
            </w:r>
            <w:r>
              <w:rPr>
                <w:rFonts w:ascii="仿宋_GB2312" w:eastAsia="仿宋_GB2312" w:hint="eastAsia"/>
                <w:w w:val="95"/>
                <w:sz w:val="24"/>
              </w:rPr>
              <w:t>组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、</w:t>
            </w:r>
            <w:r w:rsidRPr="00D064A6">
              <w:rPr>
                <w:rFonts w:ascii="仿宋_GB2312" w:eastAsia="仿宋_GB2312" w:hint="eastAsia"/>
                <w:w w:val="95"/>
                <w:sz w:val="24"/>
              </w:rPr>
              <w:t>音响</w:t>
            </w:r>
            <w:proofErr w:type="gramStart"/>
            <w:r w:rsidRPr="00D064A6">
              <w:rPr>
                <w:rFonts w:ascii="仿宋_GB2312" w:eastAsia="仿宋_GB2312" w:hint="eastAsia"/>
                <w:w w:val="95"/>
                <w:sz w:val="24"/>
              </w:rPr>
              <w:t>舞台返送音箱</w:t>
            </w:r>
            <w:proofErr w:type="gramEnd"/>
            <w:r>
              <w:rPr>
                <w:rFonts w:ascii="仿宋_GB2312" w:eastAsia="仿宋_GB2312" w:hint="eastAsia"/>
                <w:w w:val="95"/>
                <w:sz w:val="24"/>
              </w:rPr>
              <w:t>不少于2组</w:t>
            </w:r>
          </w:p>
        </w:tc>
      </w:tr>
      <w:tr w:rsidR="008830DC" w:rsidRPr="00F56FE0" w14:paraId="1BBC0B7E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311E3AB5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活动现场主屏</w:t>
            </w:r>
          </w:p>
        </w:tc>
        <w:tc>
          <w:tcPr>
            <w:tcW w:w="709" w:type="dxa"/>
            <w:vAlign w:val="center"/>
          </w:tcPr>
          <w:p w14:paraId="6FBEFAF5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</w:t>
            </w:r>
          </w:p>
        </w:tc>
        <w:tc>
          <w:tcPr>
            <w:tcW w:w="5701" w:type="dxa"/>
            <w:vAlign w:val="center"/>
          </w:tcPr>
          <w:p w14:paraId="0CAE749B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一块主屏尺寸：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4米*9米</w:t>
            </w:r>
          </w:p>
        </w:tc>
      </w:tr>
      <w:tr w:rsidR="008830DC" w:rsidRPr="00F56FE0" w14:paraId="38E007CD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1811A88F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活动现场侧屏</w:t>
            </w:r>
          </w:p>
        </w:tc>
        <w:tc>
          <w:tcPr>
            <w:tcW w:w="709" w:type="dxa"/>
            <w:vAlign w:val="center"/>
          </w:tcPr>
          <w:p w14:paraId="787C29DF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2</w:t>
            </w:r>
          </w:p>
        </w:tc>
        <w:tc>
          <w:tcPr>
            <w:tcW w:w="5701" w:type="dxa"/>
            <w:vAlign w:val="center"/>
          </w:tcPr>
          <w:p w14:paraId="4E5F4B7E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侧屏尺寸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4米*2米</w:t>
            </w:r>
          </w:p>
        </w:tc>
      </w:tr>
      <w:tr w:rsidR="008830DC" w:rsidRPr="00F56FE0" w14:paraId="15B924D2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059813F3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现场视频及画面制作</w:t>
            </w:r>
          </w:p>
        </w:tc>
        <w:tc>
          <w:tcPr>
            <w:tcW w:w="709" w:type="dxa"/>
            <w:vAlign w:val="center"/>
          </w:tcPr>
          <w:p w14:paraId="364207E7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/</w:t>
            </w:r>
          </w:p>
        </w:tc>
        <w:tc>
          <w:tcPr>
            <w:tcW w:w="5701" w:type="dxa"/>
            <w:vAlign w:val="center"/>
          </w:tcPr>
          <w:p w14:paraId="1E35EC5B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1.活动主画面设计</w:t>
            </w:r>
            <w:r>
              <w:rPr>
                <w:rFonts w:ascii="仿宋_GB2312" w:eastAsia="仿宋_GB2312" w:hint="eastAsia"/>
                <w:w w:val="95"/>
                <w:sz w:val="24"/>
              </w:rPr>
              <w:t>（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4米*9米</w:t>
            </w:r>
            <w:r>
              <w:rPr>
                <w:rFonts w:ascii="仿宋_GB2312" w:eastAsia="仿宋_GB2312" w:hint="eastAsia"/>
                <w:w w:val="95"/>
                <w:sz w:val="24"/>
              </w:rPr>
              <w:t>）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br/>
              <w:t>2.串场画面设计（不少于8个）</w:t>
            </w:r>
          </w:p>
        </w:tc>
      </w:tr>
      <w:tr w:rsidR="008830DC" w:rsidRPr="00F56FE0" w14:paraId="352AE8E6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7AC643E2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现场灯光</w:t>
            </w:r>
          </w:p>
        </w:tc>
        <w:tc>
          <w:tcPr>
            <w:tcW w:w="709" w:type="dxa"/>
            <w:vAlign w:val="center"/>
          </w:tcPr>
          <w:p w14:paraId="23272CC4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/</w:t>
            </w:r>
          </w:p>
        </w:tc>
        <w:tc>
          <w:tcPr>
            <w:tcW w:w="5701" w:type="dxa"/>
            <w:vAlign w:val="center"/>
          </w:tcPr>
          <w:p w14:paraId="30ED11D4" w14:textId="77777777" w:rsidR="008830DC" w:rsidRPr="00F56FE0" w:rsidRDefault="008830DC" w:rsidP="000B763A">
            <w:pP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lang w:val="zh-CN"/>
              </w:rPr>
            </w:pPr>
            <w:r w:rsidRPr="00F56FE0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lang w:val="zh-CN"/>
              </w:rPr>
              <w:t>活动现场舞台</w:t>
            </w:r>
            <w:r w:rsidRPr="00F56FE0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lang w:val="zh-CN"/>
              </w:rPr>
              <w:t>明道LED不低于60个</w:t>
            </w:r>
          </w:p>
          <w:p w14:paraId="11D1B574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2.</w:t>
            </w:r>
            <w:r>
              <w:rPr>
                <w:rFonts w:ascii="仿宋_GB2312" w:eastAsia="仿宋_GB2312" w:hint="eastAsia"/>
                <w:w w:val="95"/>
                <w:sz w:val="24"/>
              </w:rPr>
              <w:t>活动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现场图案灯不低于10台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br/>
              <w:t>3.</w:t>
            </w:r>
            <w:r>
              <w:rPr>
                <w:rFonts w:ascii="仿宋_GB2312" w:eastAsia="仿宋_GB2312" w:hint="eastAsia"/>
                <w:w w:val="95"/>
                <w:sz w:val="24"/>
              </w:rPr>
              <w:t>活动现场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光束灯不低于30个</w:t>
            </w:r>
          </w:p>
        </w:tc>
      </w:tr>
      <w:tr w:rsidR="008830DC" w:rsidRPr="00F56FE0" w14:paraId="08B45DBB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4A359D84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烟机</w:t>
            </w:r>
          </w:p>
        </w:tc>
        <w:tc>
          <w:tcPr>
            <w:tcW w:w="709" w:type="dxa"/>
            <w:vAlign w:val="center"/>
          </w:tcPr>
          <w:p w14:paraId="05E8A241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2</w:t>
            </w:r>
          </w:p>
        </w:tc>
        <w:tc>
          <w:tcPr>
            <w:tcW w:w="5701" w:type="dxa"/>
            <w:vAlign w:val="center"/>
          </w:tcPr>
          <w:p w14:paraId="48A54E29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</w:p>
        </w:tc>
      </w:tr>
      <w:tr w:rsidR="008830DC" w:rsidRPr="00F56FE0" w14:paraId="1E3FD3D4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0A7C7274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鲜花</w:t>
            </w:r>
          </w:p>
        </w:tc>
        <w:tc>
          <w:tcPr>
            <w:tcW w:w="709" w:type="dxa"/>
            <w:vAlign w:val="center"/>
          </w:tcPr>
          <w:p w14:paraId="633F835C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41</w:t>
            </w:r>
          </w:p>
        </w:tc>
        <w:tc>
          <w:tcPr>
            <w:tcW w:w="5701" w:type="dxa"/>
            <w:vAlign w:val="center"/>
          </w:tcPr>
          <w:p w14:paraId="169F5B9B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1.主席台挂花1个</w:t>
            </w:r>
          </w:p>
          <w:p w14:paraId="7A8A1475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2.手持花40束</w:t>
            </w:r>
            <w:r>
              <w:rPr>
                <w:rFonts w:ascii="仿宋_GB2312" w:eastAsia="仿宋_GB2312" w:hint="eastAsia"/>
                <w:w w:val="95"/>
                <w:sz w:val="24"/>
              </w:rPr>
              <w:t>（花束直径不小于35厘米）</w:t>
            </w:r>
          </w:p>
        </w:tc>
      </w:tr>
      <w:tr w:rsidR="008830DC" w:rsidRPr="00F56FE0" w14:paraId="632FCDED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11AE214B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灯光架（含灯光）</w:t>
            </w:r>
          </w:p>
        </w:tc>
        <w:tc>
          <w:tcPr>
            <w:tcW w:w="709" w:type="dxa"/>
            <w:vAlign w:val="center"/>
          </w:tcPr>
          <w:p w14:paraId="603FF357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/</w:t>
            </w:r>
          </w:p>
        </w:tc>
        <w:tc>
          <w:tcPr>
            <w:tcW w:w="5701" w:type="dxa"/>
            <w:vAlign w:val="center"/>
          </w:tcPr>
          <w:p w14:paraId="10673A2F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活动现场舞台台面光不少于10组</w:t>
            </w:r>
          </w:p>
        </w:tc>
      </w:tr>
      <w:tr w:rsidR="008830DC" w:rsidRPr="00F56FE0" w14:paraId="7F68DAE5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3BFBE76C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活动现场</w:t>
            </w:r>
            <w:proofErr w:type="gramStart"/>
            <w:r w:rsidRPr="00F56FE0">
              <w:rPr>
                <w:rFonts w:ascii="仿宋_GB2312" w:eastAsia="仿宋_GB2312" w:hint="eastAsia"/>
                <w:color w:val="000000"/>
                <w:sz w:val="24"/>
              </w:rPr>
              <w:t>合唱台</w:t>
            </w:r>
            <w:proofErr w:type="gramEnd"/>
          </w:p>
        </w:tc>
        <w:tc>
          <w:tcPr>
            <w:tcW w:w="709" w:type="dxa"/>
            <w:vAlign w:val="center"/>
          </w:tcPr>
          <w:p w14:paraId="49E9EA68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F56FE0">
              <w:rPr>
                <w:rFonts w:ascii="仿宋_GB2312" w:eastAsia="仿宋_GB2312" w:hint="eastAsia"/>
                <w:w w:val="95"/>
                <w:sz w:val="24"/>
              </w:rPr>
              <w:t>1</w:t>
            </w:r>
          </w:p>
        </w:tc>
        <w:tc>
          <w:tcPr>
            <w:tcW w:w="5701" w:type="dxa"/>
            <w:vAlign w:val="center"/>
          </w:tcPr>
          <w:p w14:paraId="2DD27F42" w14:textId="15FB1161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可供</w:t>
            </w:r>
            <w:r w:rsidRPr="00F56FE0">
              <w:rPr>
                <w:rFonts w:ascii="仿宋_GB2312" w:eastAsia="仿宋_GB2312" w:hint="eastAsia"/>
                <w:w w:val="95"/>
                <w:sz w:val="24"/>
              </w:rPr>
              <w:t>60-80人使用</w:t>
            </w:r>
          </w:p>
        </w:tc>
      </w:tr>
      <w:tr w:rsidR="008830DC" w:rsidRPr="00F56FE0" w14:paraId="54AEC3F0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74A26DD0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 w:rsidRPr="00F56FE0">
              <w:rPr>
                <w:rFonts w:ascii="仿宋_GB2312" w:eastAsia="仿宋_GB2312" w:hint="eastAsia"/>
                <w:color w:val="000000"/>
                <w:sz w:val="24"/>
              </w:rPr>
              <w:t>现场视频录制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及直播支持</w:t>
            </w:r>
          </w:p>
        </w:tc>
        <w:tc>
          <w:tcPr>
            <w:tcW w:w="709" w:type="dxa"/>
            <w:vAlign w:val="center"/>
          </w:tcPr>
          <w:p w14:paraId="165BB0B0" w14:textId="77777777" w:rsidR="008830DC" w:rsidRPr="00F56FE0" w:rsidRDefault="008830DC" w:rsidP="000B763A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5701" w:type="dxa"/>
            <w:vAlign w:val="center"/>
          </w:tcPr>
          <w:p w14:paraId="5696079C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</w:p>
        </w:tc>
      </w:tr>
      <w:tr w:rsidR="008830DC" w:rsidRPr="00F56FE0" w14:paraId="59B9FECB" w14:textId="77777777" w:rsidTr="0082015B">
        <w:trPr>
          <w:trHeight w:val="351"/>
        </w:trPr>
        <w:tc>
          <w:tcPr>
            <w:tcW w:w="1838" w:type="dxa"/>
            <w:vAlign w:val="center"/>
          </w:tcPr>
          <w:p w14:paraId="4F9FA6FA" w14:textId="77777777" w:rsidR="008830DC" w:rsidRPr="00F56FE0" w:rsidRDefault="008830DC" w:rsidP="000B763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其他活动物资</w:t>
            </w:r>
          </w:p>
        </w:tc>
        <w:tc>
          <w:tcPr>
            <w:tcW w:w="709" w:type="dxa"/>
            <w:vAlign w:val="center"/>
          </w:tcPr>
          <w:p w14:paraId="3AD5A807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5701" w:type="dxa"/>
            <w:vAlign w:val="center"/>
          </w:tcPr>
          <w:p w14:paraId="319BDAE7" w14:textId="77777777" w:rsidR="008830DC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1.表彰绶带不少于40个</w:t>
            </w:r>
          </w:p>
          <w:p w14:paraId="432998E6" w14:textId="77777777" w:rsidR="008830DC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2.活动材料打印不少于200份</w:t>
            </w:r>
            <w:r>
              <w:rPr>
                <w:rFonts w:ascii="仿宋_GB2312" w:eastAsia="仿宋_GB2312"/>
                <w:w w:val="95"/>
                <w:sz w:val="24"/>
              </w:rPr>
              <w:br/>
            </w:r>
            <w:r>
              <w:rPr>
                <w:rFonts w:ascii="仿宋_GB2312" w:eastAsia="仿宋_GB2312" w:hint="eastAsia"/>
                <w:w w:val="95"/>
                <w:sz w:val="24"/>
              </w:rPr>
              <w:t>3.钢琴租赁1台</w:t>
            </w:r>
          </w:p>
          <w:p w14:paraId="2DDB8640" w14:textId="77777777" w:rsidR="008830DC" w:rsidRPr="00F56FE0" w:rsidRDefault="008830DC" w:rsidP="000B763A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4.活动化妆及演出服</w:t>
            </w:r>
          </w:p>
        </w:tc>
      </w:tr>
    </w:tbl>
    <w:p w14:paraId="2593C7A9" w14:textId="77777777" w:rsidR="008830DC" w:rsidRDefault="008830DC" w:rsidP="008830DC">
      <w:pPr>
        <w:jc w:val="left"/>
      </w:pPr>
    </w:p>
    <w:p w14:paraId="516383B6" w14:textId="3F12D590" w:rsidR="008830DC" w:rsidRPr="00FD0702" w:rsidRDefault="008830DC" w:rsidP="008830DC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二、评分办法</w:t>
      </w:r>
    </w:p>
    <w:p w14:paraId="75CAE4B7" w14:textId="24D1DC7F" w:rsidR="00010592" w:rsidRPr="0082015B" w:rsidRDefault="00010592" w:rsidP="00010592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2015B">
        <w:rPr>
          <w:rFonts w:ascii="宋体" w:hAnsi="宋体" w:cs="宋体" w:hint="eastAsia"/>
          <w:bCs/>
          <w:sz w:val="28"/>
          <w:szCs w:val="28"/>
        </w:rPr>
        <w:t>1.对响应文件进行综合评审。本项目</w:t>
      </w:r>
      <w:r w:rsidR="00D81C6B">
        <w:rPr>
          <w:rFonts w:ascii="宋体" w:hAnsi="宋体" w:cs="宋体" w:hint="eastAsia"/>
          <w:bCs/>
          <w:sz w:val="28"/>
          <w:szCs w:val="28"/>
        </w:rPr>
        <w:t>商务</w:t>
      </w:r>
      <w:proofErr w:type="gramStart"/>
      <w:r w:rsidRPr="0082015B">
        <w:rPr>
          <w:rFonts w:ascii="宋体" w:hAnsi="宋体" w:cs="宋体" w:hint="eastAsia"/>
          <w:bCs/>
          <w:sz w:val="28"/>
          <w:szCs w:val="28"/>
        </w:rPr>
        <w:t>分值占</w:t>
      </w:r>
      <w:proofErr w:type="gramEnd"/>
      <w:r w:rsidRPr="0082015B">
        <w:rPr>
          <w:rFonts w:ascii="宋体" w:hAnsi="宋体" w:cs="宋体" w:hint="eastAsia"/>
          <w:bCs/>
          <w:sz w:val="28"/>
          <w:szCs w:val="28"/>
        </w:rPr>
        <w:t>总分值的权重为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4</w:t>
      </w:r>
      <w:r w:rsidRPr="0082015B">
        <w:rPr>
          <w:rFonts w:ascii="宋体" w:hAnsi="宋体" w:cs="宋体" w:hint="eastAsia"/>
          <w:bCs/>
          <w:sz w:val="28"/>
          <w:szCs w:val="28"/>
        </w:rPr>
        <w:t>0%，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，技术分权重为30%，</w:t>
      </w:r>
      <w:r w:rsidRPr="0082015B">
        <w:rPr>
          <w:rFonts w:ascii="宋体" w:hAnsi="宋体" w:cs="宋体" w:hint="eastAsia"/>
          <w:bCs/>
          <w:sz w:val="28"/>
          <w:szCs w:val="28"/>
        </w:rPr>
        <w:t>价格</w:t>
      </w:r>
      <w:proofErr w:type="gramStart"/>
      <w:r w:rsidRPr="0082015B">
        <w:rPr>
          <w:rFonts w:ascii="宋体" w:hAnsi="宋体" w:cs="宋体" w:hint="eastAsia"/>
          <w:bCs/>
          <w:sz w:val="28"/>
          <w:szCs w:val="28"/>
        </w:rPr>
        <w:t>分值占</w:t>
      </w:r>
      <w:proofErr w:type="gramEnd"/>
      <w:r w:rsidRPr="0082015B">
        <w:rPr>
          <w:rFonts w:ascii="宋体" w:hAnsi="宋体" w:cs="宋体" w:hint="eastAsia"/>
          <w:bCs/>
          <w:sz w:val="28"/>
          <w:szCs w:val="28"/>
        </w:rPr>
        <w:t>总分值的权重为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3</w:t>
      </w:r>
      <w:r w:rsidRPr="0082015B">
        <w:rPr>
          <w:rFonts w:ascii="宋体" w:hAnsi="宋体" w:cs="宋体" w:hint="eastAsia"/>
          <w:bCs/>
          <w:sz w:val="28"/>
          <w:szCs w:val="28"/>
        </w:rPr>
        <w:t>0%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，</w:t>
      </w:r>
      <w:r w:rsidRPr="0082015B">
        <w:rPr>
          <w:rFonts w:ascii="宋体" w:hAnsi="宋体" w:cs="宋体" w:hint="eastAsia"/>
          <w:bCs/>
          <w:sz w:val="28"/>
          <w:szCs w:val="28"/>
        </w:rPr>
        <w:t>总报价</w:t>
      </w:r>
      <w:r w:rsidRPr="0082015B">
        <w:rPr>
          <w:rFonts w:ascii="宋体" w:hAnsi="宋体" w:cs="宋体" w:hint="eastAsia"/>
          <w:bCs/>
          <w:sz w:val="28"/>
          <w:szCs w:val="28"/>
        </w:rPr>
        <w:lastRenderedPageBreak/>
        <w:t>不得高于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12.9</w:t>
      </w:r>
      <w:r w:rsidRPr="0082015B">
        <w:rPr>
          <w:rFonts w:ascii="宋体" w:hAnsi="宋体" w:cs="宋体" w:hint="eastAsia"/>
          <w:bCs/>
          <w:sz w:val="28"/>
          <w:szCs w:val="28"/>
        </w:rPr>
        <w:t>万元</w:t>
      </w:r>
      <w:r w:rsidR="004376E3" w:rsidRPr="0082015B">
        <w:rPr>
          <w:rFonts w:ascii="宋体" w:hAnsi="宋体" w:cs="宋体" w:hint="eastAsia"/>
          <w:bCs/>
          <w:sz w:val="28"/>
          <w:szCs w:val="28"/>
        </w:rPr>
        <w:t>（含税）</w:t>
      </w:r>
      <w:r w:rsidRPr="0082015B">
        <w:rPr>
          <w:rFonts w:ascii="宋体" w:hAnsi="宋体" w:cs="宋体" w:hint="eastAsia"/>
          <w:bCs/>
          <w:sz w:val="28"/>
          <w:szCs w:val="28"/>
        </w:rPr>
        <w:t>。</w:t>
      </w:r>
    </w:p>
    <w:p w14:paraId="03B544E2" w14:textId="602F9D5B" w:rsidR="00010592" w:rsidRPr="00010592" w:rsidRDefault="004376E3" w:rsidP="00010592">
      <w:pPr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82015B">
        <w:rPr>
          <w:rFonts w:ascii="宋体" w:hAnsi="宋体" w:cs="宋体" w:hint="eastAsia"/>
          <w:bCs/>
          <w:sz w:val="28"/>
          <w:szCs w:val="28"/>
        </w:rPr>
        <w:t>2</w:t>
      </w:r>
      <w:r w:rsidR="00010592" w:rsidRPr="0082015B">
        <w:rPr>
          <w:rFonts w:ascii="宋体" w:hAnsi="宋体" w:cs="宋体" w:hint="eastAsia"/>
          <w:bCs/>
          <w:sz w:val="28"/>
          <w:szCs w:val="28"/>
        </w:rPr>
        <w:t>.评分标准如下：</w:t>
      </w:r>
    </w:p>
    <w:tbl>
      <w:tblPr>
        <w:tblStyle w:val="a8"/>
        <w:tblW w:w="8326" w:type="dxa"/>
        <w:tblLook w:val="04A0" w:firstRow="1" w:lastRow="0" w:firstColumn="1" w:lastColumn="0" w:noHBand="0" w:noVBand="1"/>
      </w:tblPr>
      <w:tblGrid>
        <w:gridCol w:w="848"/>
        <w:gridCol w:w="766"/>
        <w:gridCol w:w="638"/>
        <w:gridCol w:w="5283"/>
        <w:gridCol w:w="791"/>
      </w:tblGrid>
      <w:tr w:rsidR="00341505" w:rsidRPr="00010592" w14:paraId="7E1E9DF0" w14:textId="5238FE43" w:rsidTr="0041266D">
        <w:trPr>
          <w:trHeight w:val="421"/>
        </w:trPr>
        <w:tc>
          <w:tcPr>
            <w:tcW w:w="848" w:type="dxa"/>
            <w:vAlign w:val="center"/>
          </w:tcPr>
          <w:p w14:paraId="7B376083" w14:textId="328D572B" w:rsidR="00341505" w:rsidRPr="00010592" w:rsidRDefault="00341505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分值</w:t>
            </w:r>
          </w:p>
        </w:tc>
        <w:tc>
          <w:tcPr>
            <w:tcW w:w="766" w:type="dxa"/>
            <w:vAlign w:val="center"/>
          </w:tcPr>
          <w:p w14:paraId="167E7EA6" w14:textId="65280D34" w:rsidR="00341505" w:rsidRPr="00010592" w:rsidRDefault="00341505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内容</w:t>
            </w:r>
          </w:p>
        </w:tc>
        <w:tc>
          <w:tcPr>
            <w:tcW w:w="5921" w:type="dxa"/>
            <w:gridSpan w:val="2"/>
            <w:vAlign w:val="center"/>
          </w:tcPr>
          <w:p w14:paraId="1AE5D4BA" w14:textId="10B0928F" w:rsidR="00341505" w:rsidRPr="00010592" w:rsidRDefault="00341505" w:rsidP="004376E3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Ansi="宋体" w:cs="宋体" w:hint="eastAsia"/>
                <w:spacing w:val="-16"/>
                <w:kern w:val="0"/>
                <w:sz w:val="24"/>
              </w:rPr>
              <w:t>评标内容及标准</w:t>
            </w:r>
          </w:p>
        </w:tc>
        <w:tc>
          <w:tcPr>
            <w:tcW w:w="790" w:type="dxa"/>
          </w:tcPr>
          <w:p w14:paraId="6F7F44C7" w14:textId="7039DF94" w:rsidR="00341505" w:rsidRPr="00010592" w:rsidRDefault="00341505" w:rsidP="004376E3">
            <w:pPr>
              <w:jc w:val="center"/>
              <w:rPr>
                <w:rFonts w:ascii="仿宋_GB2312" w:eastAsia="仿宋_GB2312" w:hAnsi="宋体" w:cs="宋体" w:hint="eastAsia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6"/>
                <w:kern w:val="0"/>
                <w:sz w:val="24"/>
              </w:rPr>
              <w:t>得分</w:t>
            </w:r>
          </w:p>
        </w:tc>
      </w:tr>
      <w:tr w:rsidR="00D81C6B" w:rsidRPr="00010592" w14:paraId="4661BC57" w14:textId="007E6A7A" w:rsidTr="0041266D">
        <w:trPr>
          <w:trHeight w:val="2423"/>
        </w:trPr>
        <w:tc>
          <w:tcPr>
            <w:tcW w:w="848" w:type="dxa"/>
            <w:vMerge w:val="restart"/>
            <w:vAlign w:val="center"/>
          </w:tcPr>
          <w:p w14:paraId="779DED21" w14:textId="7BFB5A2D" w:rsidR="00D81C6B" w:rsidRPr="00341505" w:rsidRDefault="00D81C6B" w:rsidP="00341505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商务分</w:t>
            </w:r>
            <w:r w:rsidRPr="0001059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4</w:t>
            </w:r>
            <w:r w:rsidRPr="00010592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0分）</w:t>
            </w:r>
          </w:p>
        </w:tc>
        <w:tc>
          <w:tcPr>
            <w:tcW w:w="766" w:type="dxa"/>
            <w:vMerge w:val="restart"/>
            <w:vAlign w:val="center"/>
          </w:tcPr>
          <w:p w14:paraId="009F0F64" w14:textId="335DAFDE" w:rsidR="00D81C6B" w:rsidRPr="00D81C6B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企业资格及以往业绩</w:t>
            </w:r>
          </w:p>
        </w:tc>
        <w:tc>
          <w:tcPr>
            <w:tcW w:w="637" w:type="dxa"/>
            <w:vAlign w:val="center"/>
          </w:tcPr>
          <w:p w14:paraId="711E214D" w14:textId="7FB85784" w:rsidR="00D81C6B" w:rsidRPr="00D81C6B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int="eastAsia"/>
                <w:w w:val="95"/>
                <w:sz w:val="24"/>
              </w:rPr>
              <w:t>20分</w:t>
            </w:r>
          </w:p>
        </w:tc>
        <w:tc>
          <w:tcPr>
            <w:tcW w:w="5283" w:type="dxa"/>
            <w:vAlign w:val="center"/>
          </w:tcPr>
          <w:p w14:paraId="42A0B7E8" w14:textId="515D1466" w:rsidR="00D81C6B" w:rsidRPr="00D81C6B" w:rsidRDefault="00D81C6B" w:rsidP="00341505">
            <w:pPr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1.自2020年1月1日起（以合同签订日为准），</w:t>
            </w:r>
            <w:proofErr w:type="gramStart"/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企业方每提供</w:t>
            </w:r>
            <w:proofErr w:type="gramEnd"/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一份教育系统或学校活动案例金额达到5万元（含）以上业绩，得10分，提供3万元（含）以上的业绩，得5分，满分20分。</w:t>
            </w:r>
          </w:p>
          <w:p w14:paraId="2BF08D19" w14:textId="01C07BB3" w:rsidR="00D81C6B" w:rsidRPr="00D81C6B" w:rsidRDefault="00D81C6B" w:rsidP="00341505">
            <w:pPr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2.以加盖企业公章的合同扫描件为准，原件备查，未提供原件，此项不得分。</w:t>
            </w:r>
          </w:p>
        </w:tc>
        <w:tc>
          <w:tcPr>
            <w:tcW w:w="790" w:type="dxa"/>
          </w:tcPr>
          <w:p w14:paraId="0CC77841" w14:textId="77777777" w:rsidR="00D81C6B" w:rsidRPr="00010592" w:rsidRDefault="00D81C6B" w:rsidP="00010592">
            <w:pPr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</w:tc>
      </w:tr>
      <w:tr w:rsidR="00D81C6B" w:rsidRPr="00010592" w14:paraId="03715771" w14:textId="5B5D165A" w:rsidTr="0041266D">
        <w:trPr>
          <w:trHeight w:val="725"/>
        </w:trPr>
        <w:tc>
          <w:tcPr>
            <w:tcW w:w="848" w:type="dxa"/>
            <w:vMerge/>
            <w:vAlign w:val="center"/>
          </w:tcPr>
          <w:p w14:paraId="2E8341A7" w14:textId="77777777" w:rsidR="00D81C6B" w:rsidRPr="00010592" w:rsidRDefault="00D81C6B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766" w:type="dxa"/>
            <w:vMerge/>
            <w:vAlign w:val="center"/>
          </w:tcPr>
          <w:p w14:paraId="7C7A7AA8" w14:textId="77777777" w:rsidR="00D81C6B" w:rsidRPr="00D81C6B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637" w:type="dxa"/>
            <w:vAlign w:val="center"/>
          </w:tcPr>
          <w:p w14:paraId="01C07AD1" w14:textId="30A0E2D5" w:rsidR="00D81C6B" w:rsidRPr="00D81C6B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int="eastAsia"/>
                <w:w w:val="95"/>
                <w:sz w:val="24"/>
              </w:rPr>
              <w:t>6分</w:t>
            </w:r>
          </w:p>
        </w:tc>
        <w:tc>
          <w:tcPr>
            <w:tcW w:w="5283" w:type="dxa"/>
            <w:vAlign w:val="center"/>
          </w:tcPr>
          <w:p w14:paraId="50345A19" w14:textId="35E6344B" w:rsidR="00D81C6B" w:rsidRPr="00D81C6B" w:rsidRDefault="00D81C6B" w:rsidP="00341505">
            <w:pPr>
              <w:rPr>
                <w:rFonts w:ascii="仿宋_GB2312" w:eastAsia="仿宋_GB2312" w:hAnsi="宋体" w:cs="宋体" w:hint="eastAsia"/>
                <w:bCs/>
                <w:sz w:val="24"/>
              </w:rPr>
            </w:pPr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企业需具有营业性演出许可证和广播电视节目制作许可证。得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6</w:t>
            </w:r>
            <w:r w:rsidRPr="00D81C6B">
              <w:rPr>
                <w:rFonts w:ascii="仿宋_GB2312" w:eastAsia="仿宋_GB2312" w:hAnsi="宋体" w:cs="宋体" w:hint="eastAsia"/>
                <w:bCs/>
                <w:sz w:val="24"/>
              </w:rPr>
              <w:t>分</w:t>
            </w:r>
          </w:p>
        </w:tc>
        <w:tc>
          <w:tcPr>
            <w:tcW w:w="790" w:type="dxa"/>
          </w:tcPr>
          <w:p w14:paraId="1D2F5DA4" w14:textId="77777777" w:rsidR="00D81C6B" w:rsidRPr="00010592" w:rsidRDefault="00D81C6B" w:rsidP="00010592">
            <w:pPr>
              <w:rPr>
                <w:rFonts w:ascii="仿宋_GB2312" w:eastAsia="仿宋_GB2312" w:hAnsi="宋体" w:cs="宋体" w:hint="eastAsia"/>
                <w:bCs/>
                <w:sz w:val="24"/>
              </w:rPr>
            </w:pPr>
          </w:p>
        </w:tc>
      </w:tr>
      <w:tr w:rsidR="00341505" w:rsidRPr="00010592" w14:paraId="46438D25" w14:textId="02EB2FDD" w:rsidTr="0041266D">
        <w:trPr>
          <w:trHeight w:val="1711"/>
        </w:trPr>
        <w:tc>
          <w:tcPr>
            <w:tcW w:w="848" w:type="dxa"/>
            <w:vMerge w:val="restart"/>
            <w:vAlign w:val="center"/>
          </w:tcPr>
          <w:p w14:paraId="2E3432D0" w14:textId="16D972D2" w:rsidR="00341505" w:rsidRPr="00010592" w:rsidRDefault="00341505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技术分（30分）</w:t>
            </w:r>
          </w:p>
        </w:tc>
        <w:tc>
          <w:tcPr>
            <w:tcW w:w="766" w:type="dxa"/>
            <w:vAlign w:val="center"/>
          </w:tcPr>
          <w:p w14:paraId="238E2836" w14:textId="1C9B862B" w:rsidR="00341505" w:rsidRPr="00D81C6B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int="eastAsia"/>
                <w:w w:val="95"/>
                <w:sz w:val="24"/>
              </w:rPr>
              <w:t>技术人员保障能力</w:t>
            </w:r>
          </w:p>
        </w:tc>
        <w:tc>
          <w:tcPr>
            <w:tcW w:w="637" w:type="dxa"/>
            <w:vAlign w:val="center"/>
          </w:tcPr>
          <w:p w14:paraId="1FA96082" w14:textId="32100109" w:rsidR="00341505" w:rsidRPr="00D81C6B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int="eastAsia"/>
                <w:w w:val="95"/>
                <w:sz w:val="24"/>
              </w:rPr>
              <w:t>8</w:t>
            </w:r>
            <w:r w:rsidR="00341505" w:rsidRPr="00D81C6B">
              <w:rPr>
                <w:rFonts w:ascii="仿宋_GB2312" w:eastAsia="仿宋_GB2312" w:hint="eastAsia"/>
                <w:w w:val="95"/>
                <w:sz w:val="24"/>
              </w:rPr>
              <w:t>分</w:t>
            </w:r>
          </w:p>
        </w:tc>
        <w:tc>
          <w:tcPr>
            <w:tcW w:w="5283" w:type="dxa"/>
            <w:vAlign w:val="center"/>
          </w:tcPr>
          <w:p w14:paraId="3FE81A3E" w14:textId="11A9B9AC" w:rsidR="00341505" w:rsidRPr="00D81C6B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D81C6B">
              <w:rPr>
                <w:rFonts w:ascii="仿宋_GB2312" w:eastAsia="仿宋_GB2312" w:hint="eastAsia"/>
                <w:w w:val="95"/>
                <w:sz w:val="24"/>
              </w:rPr>
              <w:t>根据各供应商所提供的大屏灯光音响操控人员的专业技术资质证书，每提供一个人员证书的得2分，满分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8</w:t>
            </w:r>
            <w:r w:rsidRPr="00D81C6B">
              <w:rPr>
                <w:rFonts w:ascii="仿宋_GB2312" w:eastAsia="仿宋_GB2312" w:hint="eastAsia"/>
                <w:w w:val="95"/>
                <w:sz w:val="24"/>
              </w:rPr>
              <w:t>分。</w:t>
            </w:r>
          </w:p>
        </w:tc>
        <w:tc>
          <w:tcPr>
            <w:tcW w:w="790" w:type="dxa"/>
          </w:tcPr>
          <w:p w14:paraId="1397D0FC" w14:textId="77777777" w:rsidR="00341505" w:rsidRPr="00010592" w:rsidRDefault="00341505" w:rsidP="00010592">
            <w:pPr>
              <w:rPr>
                <w:rFonts w:ascii="仿宋_GB2312" w:eastAsia="仿宋_GB2312"/>
                <w:w w:val="95"/>
                <w:sz w:val="24"/>
              </w:rPr>
            </w:pPr>
          </w:p>
        </w:tc>
      </w:tr>
      <w:tr w:rsidR="00341505" w:rsidRPr="00010592" w14:paraId="13712F7C" w14:textId="423900A8" w:rsidTr="0041266D">
        <w:trPr>
          <w:trHeight w:val="195"/>
        </w:trPr>
        <w:tc>
          <w:tcPr>
            <w:tcW w:w="848" w:type="dxa"/>
            <w:vMerge/>
            <w:vAlign w:val="center"/>
          </w:tcPr>
          <w:p w14:paraId="288AAF5E" w14:textId="77777777" w:rsidR="00341505" w:rsidRPr="00010592" w:rsidRDefault="00341505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</w:p>
        </w:tc>
        <w:tc>
          <w:tcPr>
            <w:tcW w:w="766" w:type="dxa"/>
            <w:vAlign w:val="center"/>
          </w:tcPr>
          <w:p w14:paraId="6B766457" w14:textId="36C8F755" w:rsidR="00341505" w:rsidRPr="00010592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方案效果</w:t>
            </w:r>
          </w:p>
        </w:tc>
        <w:tc>
          <w:tcPr>
            <w:tcW w:w="637" w:type="dxa"/>
            <w:vAlign w:val="center"/>
          </w:tcPr>
          <w:p w14:paraId="37F44A7A" w14:textId="4147DB0D" w:rsidR="00341505" w:rsidRPr="00010592" w:rsidRDefault="00D81C6B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36</w:t>
            </w:r>
            <w:r w:rsidR="00341505">
              <w:rPr>
                <w:rFonts w:ascii="仿宋_GB2312" w:eastAsia="仿宋_GB2312" w:hint="eastAsia"/>
                <w:w w:val="95"/>
                <w:sz w:val="24"/>
              </w:rPr>
              <w:t>分</w:t>
            </w:r>
          </w:p>
        </w:tc>
        <w:tc>
          <w:tcPr>
            <w:tcW w:w="5283" w:type="dxa"/>
            <w:vAlign w:val="center"/>
          </w:tcPr>
          <w:p w14:paraId="50FE279F" w14:textId="72BEB572" w:rsidR="00341505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1.</w:t>
            </w:r>
            <w:r w:rsidRPr="00010592">
              <w:rPr>
                <w:rFonts w:ascii="仿宋_GB2312" w:eastAsia="仿宋_GB2312" w:hint="eastAsia"/>
                <w:w w:val="95"/>
                <w:sz w:val="24"/>
              </w:rPr>
              <w:t>根据响应文件内的设计效果图， 酌情赋分</w:t>
            </w:r>
            <w:r>
              <w:rPr>
                <w:rFonts w:ascii="仿宋_GB2312" w:eastAsia="仿宋_GB2312" w:hint="eastAsia"/>
                <w:w w:val="95"/>
                <w:sz w:val="24"/>
              </w:rPr>
              <w:t>，</w:t>
            </w:r>
            <w:r w:rsidRPr="00010592">
              <w:rPr>
                <w:rFonts w:ascii="仿宋_GB2312" w:eastAsia="仿宋_GB2312" w:hint="eastAsia"/>
                <w:w w:val="95"/>
                <w:sz w:val="24"/>
              </w:rPr>
              <w:t>满分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3</w:t>
            </w:r>
            <w:r w:rsidR="0041266D">
              <w:rPr>
                <w:rFonts w:ascii="仿宋_GB2312" w:eastAsia="仿宋_GB2312" w:hint="eastAsia"/>
                <w:w w:val="95"/>
                <w:sz w:val="24"/>
              </w:rPr>
              <w:t>6</w:t>
            </w:r>
            <w:r w:rsidRPr="00010592">
              <w:rPr>
                <w:rFonts w:ascii="仿宋_GB2312" w:eastAsia="仿宋_GB2312" w:hint="eastAsia"/>
                <w:w w:val="95"/>
                <w:sz w:val="24"/>
              </w:rPr>
              <w:t>分</w:t>
            </w:r>
            <w:r>
              <w:rPr>
                <w:rFonts w:ascii="仿宋_GB2312" w:eastAsia="仿宋_GB2312" w:hint="eastAsia"/>
                <w:w w:val="95"/>
                <w:sz w:val="24"/>
              </w:rPr>
              <w:t>。</w:t>
            </w:r>
          </w:p>
          <w:p w14:paraId="6F029E47" w14:textId="64E9D7A5" w:rsidR="00341505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2.该项分为四个测评维度，主题贴合度、呈现效果、整体性、创新性，每个维度0-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9</w:t>
            </w:r>
            <w:r>
              <w:rPr>
                <w:rFonts w:ascii="仿宋_GB2312" w:eastAsia="仿宋_GB2312" w:hint="eastAsia"/>
                <w:w w:val="95"/>
                <w:sz w:val="24"/>
              </w:rPr>
              <w:t>分（0为不满足要求，1-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3</w:t>
            </w:r>
            <w:r>
              <w:rPr>
                <w:rFonts w:ascii="仿宋_GB2312" w:eastAsia="仿宋_GB2312" w:hint="eastAsia"/>
                <w:w w:val="95"/>
                <w:sz w:val="24"/>
              </w:rPr>
              <w:t>分为基本满足，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4</w:t>
            </w:r>
            <w:r>
              <w:rPr>
                <w:rFonts w:ascii="仿宋_GB2312" w:eastAsia="仿宋_GB2312" w:hint="eastAsia"/>
                <w:w w:val="95"/>
                <w:sz w:val="24"/>
              </w:rPr>
              <w:t>-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6</w:t>
            </w:r>
            <w:r>
              <w:rPr>
                <w:rFonts w:ascii="仿宋_GB2312" w:eastAsia="仿宋_GB2312" w:hint="eastAsia"/>
                <w:w w:val="95"/>
                <w:sz w:val="24"/>
              </w:rPr>
              <w:t>分为表现良好，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7-9</w:t>
            </w:r>
            <w:r>
              <w:rPr>
                <w:rFonts w:ascii="仿宋_GB2312" w:eastAsia="仿宋_GB2312" w:hint="eastAsia"/>
                <w:w w:val="95"/>
                <w:sz w:val="24"/>
              </w:rPr>
              <w:t>为表现优秀）</w:t>
            </w:r>
          </w:p>
          <w:p w14:paraId="0BB9AD3E" w14:textId="7942A9EB" w:rsidR="00341505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注：主题贴合度：设计内容是否和本次活动的主体贴合，符合活动原则；</w:t>
            </w:r>
          </w:p>
          <w:p w14:paraId="0314E058" w14:textId="1818CBE4" w:rsidR="00341505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呈现效果：布局是否合理，色彩搭配是否和谐；</w:t>
            </w:r>
          </w:p>
          <w:p w14:paraId="137F8BF9" w14:textId="77777777" w:rsidR="00341505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整体性：各设计效果间有内在关联；</w:t>
            </w:r>
          </w:p>
          <w:p w14:paraId="31DA0150" w14:textId="60E7621D" w:rsidR="00341505" w:rsidRPr="00010592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创新性：方案设计是否有创新。</w:t>
            </w:r>
          </w:p>
        </w:tc>
        <w:tc>
          <w:tcPr>
            <w:tcW w:w="790" w:type="dxa"/>
          </w:tcPr>
          <w:p w14:paraId="1FDB04D9" w14:textId="77777777" w:rsidR="00341505" w:rsidRPr="00010592" w:rsidRDefault="00341505" w:rsidP="00010592">
            <w:pPr>
              <w:rPr>
                <w:rFonts w:ascii="仿宋_GB2312" w:eastAsia="仿宋_GB2312"/>
                <w:w w:val="95"/>
                <w:sz w:val="24"/>
              </w:rPr>
            </w:pPr>
          </w:p>
        </w:tc>
      </w:tr>
      <w:tr w:rsidR="00341505" w:rsidRPr="00010592" w14:paraId="1A46EE09" w14:textId="3055CE2D" w:rsidTr="0041266D">
        <w:trPr>
          <w:trHeight w:val="2134"/>
        </w:trPr>
        <w:tc>
          <w:tcPr>
            <w:tcW w:w="848" w:type="dxa"/>
            <w:vAlign w:val="center"/>
          </w:tcPr>
          <w:p w14:paraId="78375E38" w14:textId="486CE274" w:rsidR="00341505" w:rsidRPr="00010592" w:rsidRDefault="00341505" w:rsidP="00010592">
            <w:pPr>
              <w:jc w:val="center"/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价格分</w:t>
            </w:r>
            <w:r>
              <w:rPr>
                <w:rFonts w:ascii="仿宋_GB2312" w:eastAsia="仿宋_GB2312" w:hint="eastAsia"/>
                <w:w w:val="95"/>
                <w:sz w:val="24"/>
              </w:rPr>
              <w:t>（30分）</w:t>
            </w:r>
          </w:p>
        </w:tc>
        <w:tc>
          <w:tcPr>
            <w:tcW w:w="766" w:type="dxa"/>
            <w:vAlign w:val="center"/>
          </w:tcPr>
          <w:p w14:paraId="7F2670B1" w14:textId="39099D69" w:rsidR="00341505" w:rsidRPr="00010592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价格分</w:t>
            </w:r>
          </w:p>
        </w:tc>
        <w:tc>
          <w:tcPr>
            <w:tcW w:w="637" w:type="dxa"/>
            <w:vAlign w:val="center"/>
          </w:tcPr>
          <w:p w14:paraId="00BE3B4D" w14:textId="50D08144" w:rsidR="00341505" w:rsidRPr="00010592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30分</w:t>
            </w:r>
          </w:p>
        </w:tc>
        <w:tc>
          <w:tcPr>
            <w:tcW w:w="5283" w:type="dxa"/>
            <w:vAlign w:val="center"/>
          </w:tcPr>
          <w:p w14:paraId="1CF5BC56" w14:textId="47AA1515" w:rsidR="00341505" w:rsidRPr="00010592" w:rsidRDefault="00341505" w:rsidP="00341505">
            <w:pPr>
              <w:rPr>
                <w:rFonts w:ascii="仿宋_GB2312" w:eastAsia="仿宋_GB2312"/>
                <w:w w:val="95"/>
                <w:sz w:val="24"/>
              </w:rPr>
            </w:pPr>
            <w:r w:rsidRPr="00010592">
              <w:rPr>
                <w:rFonts w:ascii="仿宋_GB2312" w:eastAsia="仿宋_GB2312" w:hint="eastAsia"/>
                <w:w w:val="95"/>
                <w:sz w:val="24"/>
              </w:rPr>
              <w:t>价格</w:t>
            </w:r>
            <w:proofErr w:type="gramStart"/>
            <w:r w:rsidRPr="00010592">
              <w:rPr>
                <w:rFonts w:ascii="仿宋_GB2312" w:eastAsia="仿宋_GB2312" w:hint="eastAsia"/>
                <w:w w:val="95"/>
                <w:sz w:val="24"/>
              </w:rPr>
              <w:t>分统一</w:t>
            </w:r>
            <w:proofErr w:type="gramEnd"/>
            <w:r w:rsidRPr="00010592">
              <w:rPr>
                <w:rFonts w:ascii="仿宋_GB2312" w:eastAsia="仿宋_GB2312" w:hint="eastAsia"/>
                <w:w w:val="95"/>
                <w:sz w:val="24"/>
              </w:rPr>
              <w:t>采用低价优先法，即满足要求且投标价格最低的投标报价为评标基准价，其价格分为满分</w:t>
            </w:r>
            <w:r w:rsidR="0041266D">
              <w:rPr>
                <w:rFonts w:ascii="仿宋_GB2312" w:eastAsia="仿宋_GB2312" w:hint="eastAsia"/>
                <w:w w:val="95"/>
                <w:sz w:val="24"/>
              </w:rPr>
              <w:t>3</w:t>
            </w:r>
            <w:r w:rsidRPr="00010592">
              <w:rPr>
                <w:rFonts w:ascii="仿宋_GB2312" w:eastAsia="仿宋_GB2312" w:hint="eastAsia"/>
                <w:w w:val="95"/>
                <w:sz w:val="24"/>
              </w:rPr>
              <w:t>0分。其他投标人的价格</w:t>
            </w:r>
            <w:proofErr w:type="gramStart"/>
            <w:r w:rsidRPr="00010592">
              <w:rPr>
                <w:rFonts w:ascii="仿宋_GB2312" w:eastAsia="仿宋_GB2312" w:hint="eastAsia"/>
                <w:w w:val="95"/>
                <w:sz w:val="24"/>
              </w:rPr>
              <w:t>分统一</w:t>
            </w:r>
            <w:proofErr w:type="gramEnd"/>
            <w:r w:rsidRPr="00010592">
              <w:rPr>
                <w:rFonts w:ascii="仿宋_GB2312" w:eastAsia="仿宋_GB2312" w:hint="eastAsia"/>
                <w:w w:val="95"/>
                <w:sz w:val="24"/>
              </w:rPr>
              <w:t>按照下列公示计算：投标报价得分=（评标基准价/投标报价）×</w:t>
            </w:r>
            <w:r w:rsidR="00D81C6B">
              <w:rPr>
                <w:rFonts w:ascii="仿宋_GB2312" w:eastAsia="仿宋_GB2312" w:hint="eastAsia"/>
                <w:w w:val="95"/>
                <w:sz w:val="24"/>
              </w:rPr>
              <w:t>3</w:t>
            </w:r>
            <w:r w:rsidRPr="00010592">
              <w:rPr>
                <w:rFonts w:ascii="仿宋_GB2312" w:eastAsia="仿宋_GB2312" w:hint="eastAsia"/>
                <w:w w:val="95"/>
                <w:sz w:val="24"/>
              </w:rPr>
              <w:t>0%×100。</w:t>
            </w:r>
            <w:r>
              <w:rPr>
                <w:rFonts w:ascii="仿宋_GB2312" w:eastAsia="仿宋_GB2312" w:hint="eastAsia"/>
                <w:w w:val="95"/>
                <w:sz w:val="24"/>
              </w:rPr>
              <w:t>（响应文件中含各分项报价）</w:t>
            </w:r>
          </w:p>
        </w:tc>
        <w:tc>
          <w:tcPr>
            <w:tcW w:w="790" w:type="dxa"/>
          </w:tcPr>
          <w:p w14:paraId="66D369EA" w14:textId="77777777" w:rsidR="00341505" w:rsidRPr="00010592" w:rsidRDefault="00341505" w:rsidP="00010592">
            <w:pPr>
              <w:rPr>
                <w:rFonts w:ascii="仿宋_GB2312" w:eastAsia="仿宋_GB2312"/>
                <w:w w:val="95"/>
                <w:sz w:val="24"/>
              </w:rPr>
            </w:pPr>
          </w:p>
        </w:tc>
      </w:tr>
      <w:tr w:rsidR="00341505" w:rsidRPr="00010592" w14:paraId="3A26AB55" w14:textId="77777777" w:rsidTr="0041266D">
        <w:trPr>
          <w:trHeight w:val="421"/>
        </w:trPr>
        <w:tc>
          <w:tcPr>
            <w:tcW w:w="2252" w:type="dxa"/>
            <w:gridSpan w:val="3"/>
            <w:vAlign w:val="center"/>
          </w:tcPr>
          <w:p w14:paraId="1550C1D8" w14:textId="5AB0A323" w:rsidR="00341505" w:rsidRDefault="00341505" w:rsidP="00341505">
            <w:pPr>
              <w:spacing w:line="360" w:lineRule="auto"/>
              <w:rPr>
                <w:rFonts w:ascii="仿宋_GB2312" w:eastAsia="仿宋_GB2312"/>
                <w:w w:val="95"/>
                <w:sz w:val="24"/>
              </w:rPr>
            </w:pPr>
            <w:r>
              <w:rPr>
                <w:rFonts w:ascii="仿宋_GB2312" w:eastAsia="仿宋_GB2312" w:hint="eastAsia"/>
                <w:w w:val="95"/>
                <w:sz w:val="24"/>
              </w:rPr>
              <w:t>总分</w:t>
            </w:r>
          </w:p>
        </w:tc>
        <w:tc>
          <w:tcPr>
            <w:tcW w:w="6074" w:type="dxa"/>
            <w:gridSpan w:val="2"/>
            <w:vAlign w:val="center"/>
          </w:tcPr>
          <w:p w14:paraId="04513338" w14:textId="77777777" w:rsidR="00341505" w:rsidRPr="00010592" w:rsidRDefault="00341505" w:rsidP="00341505">
            <w:pPr>
              <w:spacing w:line="360" w:lineRule="auto"/>
              <w:rPr>
                <w:rFonts w:ascii="仿宋_GB2312" w:eastAsia="仿宋_GB2312"/>
                <w:w w:val="95"/>
                <w:sz w:val="24"/>
              </w:rPr>
            </w:pPr>
          </w:p>
        </w:tc>
      </w:tr>
    </w:tbl>
    <w:p w14:paraId="272E5EDB" w14:textId="77777777" w:rsidR="00010592" w:rsidRDefault="00010592" w:rsidP="00341505">
      <w:pPr>
        <w:rPr>
          <w:rFonts w:ascii="方正小标宋简体" w:eastAsia="方正小标宋简体"/>
          <w:w w:val="95"/>
          <w:sz w:val="40"/>
          <w:szCs w:val="40"/>
        </w:rPr>
      </w:pPr>
    </w:p>
    <w:sectPr w:rsidR="0001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69B7D" w14:textId="77777777" w:rsidR="00D5493C" w:rsidRDefault="00D5493C" w:rsidP="001F7966">
      <w:r>
        <w:separator/>
      </w:r>
    </w:p>
  </w:endnote>
  <w:endnote w:type="continuationSeparator" w:id="0">
    <w:p w14:paraId="7D77F437" w14:textId="77777777" w:rsidR="00D5493C" w:rsidRDefault="00D5493C" w:rsidP="001F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6FF6" w14:textId="77777777" w:rsidR="00D5493C" w:rsidRDefault="00D5493C" w:rsidP="001F7966">
      <w:r>
        <w:separator/>
      </w:r>
    </w:p>
  </w:footnote>
  <w:footnote w:type="continuationSeparator" w:id="0">
    <w:p w14:paraId="0C9C4C0B" w14:textId="77777777" w:rsidR="00D5493C" w:rsidRDefault="00D5493C" w:rsidP="001F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3B615F"/>
    <w:multiLevelType w:val="singleLevel"/>
    <w:tmpl w:val="CB3B61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DBE16EA"/>
    <w:multiLevelType w:val="hybridMultilevel"/>
    <w:tmpl w:val="E80A773E"/>
    <w:lvl w:ilvl="0" w:tplc="B5BA3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BF388B"/>
    <w:multiLevelType w:val="hybridMultilevel"/>
    <w:tmpl w:val="ADF870BE"/>
    <w:lvl w:ilvl="0" w:tplc="1CE290A6">
      <w:start w:val="1"/>
      <w:numFmt w:val="decimal"/>
      <w:lvlText w:val="%1."/>
      <w:lvlJc w:val="left"/>
      <w:pPr>
        <w:ind w:left="260" w:hanging="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1120417"/>
    <w:multiLevelType w:val="hybridMultilevel"/>
    <w:tmpl w:val="84486070"/>
    <w:lvl w:ilvl="0" w:tplc="9C1C8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3095160">
    <w:abstractNumId w:val="0"/>
  </w:num>
  <w:num w:numId="2" w16cid:durableId="39792904">
    <w:abstractNumId w:val="3"/>
  </w:num>
  <w:num w:numId="3" w16cid:durableId="457572468">
    <w:abstractNumId w:val="2"/>
  </w:num>
  <w:num w:numId="4" w16cid:durableId="34984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2OGE0OWNlOGRlYjhkNDYyMTcxNDliZjYxMDE0OTAifQ=="/>
  </w:docVars>
  <w:rsids>
    <w:rsidRoot w:val="04B45DF3"/>
    <w:rsid w:val="00010592"/>
    <w:rsid w:val="0005314B"/>
    <w:rsid w:val="000B35BF"/>
    <w:rsid w:val="001241D0"/>
    <w:rsid w:val="001E2B9F"/>
    <w:rsid w:val="001F7966"/>
    <w:rsid w:val="002A2D2D"/>
    <w:rsid w:val="002A5EBF"/>
    <w:rsid w:val="002B6800"/>
    <w:rsid w:val="00302709"/>
    <w:rsid w:val="003357A4"/>
    <w:rsid w:val="00341505"/>
    <w:rsid w:val="00366DCE"/>
    <w:rsid w:val="0041266D"/>
    <w:rsid w:val="004304A9"/>
    <w:rsid w:val="004376E3"/>
    <w:rsid w:val="004C3E35"/>
    <w:rsid w:val="004E40F2"/>
    <w:rsid w:val="0053135E"/>
    <w:rsid w:val="00621A77"/>
    <w:rsid w:val="0068684C"/>
    <w:rsid w:val="006B03D9"/>
    <w:rsid w:val="006F05F9"/>
    <w:rsid w:val="007B1B7D"/>
    <w:rsid w:val="007C5B8E"/>
    <w:rsid w:val="007F09DB"/>
    <w:rsid w:val="008046F8"/>
    <w:rsid w:val="0081152A"/>
    <w:rsid w:val="0082015B"/>
    <w:rsid w:val="008830DC"/>
    <w:rsid w:val="008F1AC4"/>
    <w:rsid w:val="00A06776"/>
    <w:rsid w:val="00AF6CC4"/>
    <w:rsid w:val="00B27D24"/>
    <w:rsid w:val="00B712E1"/>
    <w:rsid w:val="00D064A6"/>
    <w:rsid w:val="00D5493C"/>
    <w:rsid w:val="00D67FB0"/>
    <w:rsid w:val="00D80200"/>
    <w:rsid w:val="00D81C6B"/>
    <w:rsid w:val="00DA5A2F"/>
    <w:rsid w:val="00E0239C"/>
    <w:rsid w:val="00E21B4B"/>
    <w:rsid w:val="00E701AD"/>
    <w:rsid w:val="00EF3BB0"/>
    <w:rsid w:val="00F2052A"/>
    <w:rsid w:val="00F239A7"/>
    <w:rsid w:val="00F3286B"/>
    <w:rsid w:val="00F51E04"/>
    <w:rsid w:val="00F56FE0"/>
    <w:rsid w:val="00F7039F"/>
    <w:rsid w:val="00FB29D0"/>
    <w:rsid w:val="00FD0702"/>
    <w:rsid w:val="00FD50C3"/>
    <w:rsid w:val="04B45DF3"/>
    <w:rsid w:val="052120A3"/>
    <w:rsid w:val="05377B18"/>
    <w:rsid w:val="07BE573C"/>
    <w:rsid w:val="08DF64FD"/>
    <w:rsid w:val="09EF52A0"/>
    <w:rsid w:val="0A413062"/>
    <w:rsid w:val="0AC446B1"/>
    <w:rsid w:val="0C72307C"/>
    <w:rsid w:val="0CDB24EE"/>
    <w:rsid w:val="0DA6583B"/>
    <w:rsid w:val="0E2C3D5F"/>
    <w:rsid w:val="10CC380A"/>
    <w:rsid w:val="138A0E8B"/>
    <w:rsid w:val="14E8441B"/>
    <w:rsid w:val="15D171CD"/>
    <w:rsid w:val="16161084"/>
    <w:rsid w:val="1B60171F"/>
    <w:rsid w:val="1C7F3179"/>
    <w:rsid w:val="1E770528"/>
    <w:rsid w:val="1E8B4183"/>
    <w:rsid w:val="1F84052B"/>
    <w:rsid w:val="1FEA6EDB"/>
    <w:rsid w:val="20847DD0"/>
    <w:rsid w:val="239D1652"/>
    <w:rsid w:val="26F61189"/>
    <w:rsid w:val="2B9611AC"/>
    <w:rsid w:val="2BF5237F"/>
    <w:rsid w:val="2C9C36C4"/>
    <w:rsid w:val="2EBA484A"/>
    <w:rsid w:val="307F3F9D"/>
    <w:rsid w:val="342B1D46"/>
    <w:rsid w:val="34F612EC"/>
    <w:rsid w:val="360867E3"/>
    <w:rsid w:val="37091308"/>
    <w:rsid w:val="374970B3"/>
    <w:rsid w:val="38205356"/>
    <w:rsid w:val="38B61821"/>
    <w:rsid w:val="397523E2"/>
    <w:rsid w:val="3B7D37CF"/>
    <w:rsid w:val="3BE455FD"/>
    <w:rsid w:val="3CC041E1"/>
    <w:rsid w:val="3EDF7F99"/>
    <w:rsid w:val="3FFA750E"/>
    <w:rsid w:val="41CA6BFE"/>
    <w:rsid w:val="430A1D08"/>
    <w:rsid w:val="469B5E83"/>
    <w:rsid w:val="4716175C"/>
    <w:rsid w:val="49E25CB0"/>
    <w:rsid w:val="49FD1FE7"/>
    <w:rsid w:val="4B470CAD"/>
    <w:rsid w:val="4BCE4DEA"/>
    <w:rsid w:val="4D257557"/>
    <w:rsid w:val="4DB12E65"/>
    <w:rsid w:val="4F316D6A"/>
    <w:rsid w:val="4F506C81"/>
    <w:rsid w:val="508A1E77"/>
    <w:rsid w:val="53B92C73"/>
    <w:rsid w:val="56A77260"/>
    <w:rsid w:val="56B60F30"/>
    <w:rsid w:val="570B68A9"/>
    <w:rsid w:val="57CC546B"/>
    <w:rsid w:val="583E1E7A"/>
    <w:rsid w:val="584C7961"/>
    <w:rsid w:val="5B8A71CF"/>
    <w:rsid w:val="5DE21703"/>
    <w:rsid w:val="635035E3"/>
    <w:rsid w:val="64632A18"/>
    <w:rsid w:val="65BB5B55"/>
    <w:rsid w:val="65EC0A86"/>
    <w:rsid w:val="6743303F"/>
    <w:rsid w:val="69280027"/>
    <w:rsid w:val="69BA238F"/>
    <w:rsid w:val="6B621F16"/>
    <w:rsid w:val="6CFD1B8D"/>
    <w:rsid w:val="6F1F5D01"/>
    <w:rsid w:val="700533DB"/>
    <w:rsid w:val="730B105E"/>
    <w:rsid w:val="7724453C"/>
    <w:rsid w:val="793A5D9C"/>
    <w:rsid w:val="7B5353D8"/>
    <w:rsid w:val="7B750785"/>
    <w:rsid w:val="7C262AEC"/>
    <w:rsid w:val="7C69576C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53242"/>
  <w15:docId w15:val="{6C6FE226-2C01-419E-82CC-FD03DEA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Revision"/>
    <w:hidden/>
    <w:uiPriority w:val="99"/>
    <w:unhideWhenUsed/>
    <w:rsid w:val="0081152A"/>
    <w:rPr>
      <w:rFonts w:ascii="Times New Roman" w:eastAsia="宋体" w:hAnsi="Times New Roman" w:cs="Times New Roman"/>
      <w:kern w:val="2"/>
      <w:sz w:val="21"/>
      <w:szCs w:val="24"/>
    </w:rPr>
  </w:style>
  <w:style w:type="table" w:customStyle="1" w:styleId="TableNormal">
    <w:name w:val="Table Normal"/>
    <w:semiHidden/>
    <w:qFormat/>
    <w:rsid w:val="00010592"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何豫潼</dc:creator>
  <cp:lastModifiedBy>mao mao</cp:lastModifiedBy>
  <cp:revision>13</cp:revision>
  <cp:lastPrinted>2023-05-08T02:57:00Z</cp:lastPrinted>
  <dcterms:created xsi:type="dcterms:W3CDTF">2024-08-30T01:34:00Z</dcterms:created>
  <dcterms:modified xsi:type="dcterms:W3CDTF">2024-08-30T10:01:00Z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C860772D179C4D30B7B5DDC738A9861A_13</vt:lpwstr>
  </property>
</Properties>
</file>